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BB7F57">
        <w:rPr>
          <w:rFonts w:ascii="Times New Roman" w:hAnsi="Times New Roman"/>
          <w:bCs/>
          <w:sz w:val="24"/>
          <w:szCs w:val="24"/>
        </w:rPr>
        <w:t>4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BB7F57" w:rsidRPr="00BB7F57">
        <w:rPr>
          <w:rFonts w:ascii="Times New Roman" w:hAnsi="Times New Roman"/>
          <w:bCs/>
          <w:sz w:val="24"/>
          <w:szCs w:val="24"/>
        </w:rPr>
        <w:t>архитектурному и при одностадийном проектировании строительному проекту (в том числе с внесенными изменениями в случае, если проектные решения в них превышают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документации) на возведение, реконструкцию объектов, указанных в перечне объектов, для которых проводится оценка воздействия на окружающую среду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BB7F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AB5578"/>
    <w:rsid w:val="00BB7F57"/>
    <w:rsid w:val="00BD6140"/>
    <w:rsid w:val="00E50839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2022-04-11T14:52:00Z</dcterms:created>
  <dcterms:modified xsi:type="dcterms:W3CDTF">2022-04-11T14:52:00Z</dcterms:modified>
</cp:coreProperties>
</file>